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5A55A" w14:textId="1D4EE6C5" w:rsidR="00FF7E13" w:rsidRDefault="00FF7E13" w:rsidP="0039140B"/>
    <w:p w14:paraId="3C4DC744" w14:textId="77777777" w:rsidR="00BB0605" w:rsidRPr="00BB0605" w:rsidRDefault="00BB0605" w:rsidP="00BB0605">
      <w:pPr>
        <w:spacing w:line="240" w:lineRule="auto"/>
        <w:textAlignment w:val="baseline"/>
        <w:outlineLvl w:val="0"/>
        <w:rPr>
          <w:rFonts w:ascii="&amp;quot" w:eastAsia="Times New Roman" w:hAnsi="&amp;quot" w:cs="Times New Roman"/>
          <w:b/>
          <w:bCs/>
          <w:color w:val="0B0C0C"/>
          <w:kern w:val="36"/>
          <w:sz w:val="72"/>
          <w:szCs w:val="72"/>
          <w:lang w:eastAsia="en-GB"/>
        </w:rPr>
      </w:pPr>
      <w:r w:rsidRPr="00BB0605">
        <w:rPr>
          <w:rFonts w:ascii="&amp;quot" w:eastAsia="Times New Roman" w:hAnsi="&amp;quot" w:cs="Times New Roman"/>
          <w:b/>
          <w:bCs/>
          <w:color w:val="0B0C0C"/>
          <w:kern w:val="36"/>
          <w:sz w:val="72"/>
          <w:szCs w:val="72"/>
          <w:lang w:eastAsia="en-GB"/>
        </w:rPr>
        <w:t xml:space="preserve">National Minimum Wage and National Living Wage rates </w:t>
      </w:r>
    </w:p>
    <w:p w14:paraId="0EE24476" w14:textId="77777777" w:rsidR="00BB0605" w:rsidRPr="00BB0605" w:rsidRDefault="00BB0605" w:rsidP="00BB0605">
      <w:pPr>
        <w:spacing w:line="240" w:lineRule="auto"/>
        <w:ind w:right="-45"/>
        <w:textAlignment w:val="baseline"/>
        <w:rPr>
          <w:rFonts w:ascii="&amp;quot" w:eastAsia="Times New Roman" w:hAnsi="&amp;quot" w:cs="Times New Roman"/>
          <w:color w:val="0B0C0C"/>
          <w:sz w:val="29"/>
          <w:szCs w:val="29"/>
          <w:lang w:eastAsia="en-GB"/>
        </w:rPr>
      </w:pPr>
      <w:r w:rsidRPr="00BB0605">
        <w:rPr>
          <w:rFonts w:ascii="&amp;quot" w:eastAsia="Times New Roman" w:hAnsi="&amp;quot" w:cs="Times New Roman"/>
          <w:color w:val="0B0C0C"/>
          <w:sz w:val="29"/>
          <w:szCs w:val="29"/>
          <w:lang w:eastAsia="en-GB"/>
        </w:rPr>
        <w:t>The hourly rate for the minimum wage depends on your age and whether you’re an apprentice.</w:t>
      </w:r>
    </w:p>
    <w:p w14:paraId="196924A8" w14:textId="77777777" w:rsidR="00BB0605" w:rsidRPr="00BB0605" w:rsidRDefault="00BB0605" w:rsidP="00BB0605">
      <w:pPr>
        <w:spacing w:line="240" w:lineRule="auto"/>
        <w:textAlignment w:val="baseline"/>
        <w:rPr>
          <w:rFonts w:ascii="&amp;quot" w:eastAsia="Times New Roman" w:hAnsi="&amp;quot" w:cs="Times New Roman"/>
          <w:color w:val="0B0C0C"/>
          <w:sz w:val="29"/>
          <w:szCs w:val="29"/>
          <w:lang w:eastAsia="en-GB"/>
        </w:rPr>
      </w:pPr>
      <w:r w:rsidRPr="00BB0605">
        <w:rPr>
          <w:rFonts w:ascii="&amp;quot" w:eastAsia="Times New Roman" w:hAnsi="&amp;quot" w:cs="Times New Roman"/>
          <w:color w:val="0B0C0C"/>
          <w:sz w:val="29"/>
          <w:szCs w:val="29"/>
          <w:lang w:eastAsia="en-GB"/>
        </w:rPr>
        <w:t xml:space="preserve">This page is also available </w:t>
      </w:r>
      <w:hyperlink r:id="rId5" w:history="1">
        <w:r w:rsidRPr="00BB0605">
          <w:rPr>
            <w:rFonts w:ascii="&amp;quot" w:eastAsia="Times New Roman" w:hAnsi="&amp;quot" w:cs="Times New Roman"/>
            <w:color w:val="1D70B8"/>
            <w:sz w:val="29"/>
            <w:szCs w:val="29"/>
            <w:u w:val="single"/>
            <w:bdr w:val="none" w:sz="0" w:space="0" w:color="auto" w:frame="1"/>
            <w:lang w:eastAsia="en-GB"/>
          </w:rPr>
          <w:t>in Welsh (</w:t>
        </w:r>
        <w:proofErr w:type="spellStart"/>
        <w:r w:rsidRPr="00BB0605">
          <w:rPr>
            <w:rFonts w:ascii="&amp;quot" w:eastAsia="Times New Roman" w:hAnsi="&amp;quot" w:cs="Times New Roman"/>
            <w:color w:val="1D70B8"/>
            <w:sz w:val="29"/>
            <w:szCs w:val="29"/>
            <w:u w:val="single"/>
            <w:bdr w:val="none" w:sz="0" w:space="0" w:color="auto" w:frame="1"/>
            <w:lang w:eastAsia="en-GB"/>
          </w:rPr>
          <w:t>Cymraeg</w:t>
        </w:r>
        <w:proofErr w:type="spellEnd"/>
        <w:r w:rsidRPr="00BB0605">
          <w:rPr>
            <w:rFonts w:ascii="&amp;quot" w:eastAsia="Times New Roman" w:hAnsi="&amp;quot" w:cs="Times New Roman"/>
            <w:color w:val="1D70B8"/>
            <w:sz w:val="29"/>
            <w:szCs w:val="29"/>
            <w:u w:val="single"/>
            <w:bdr w:val="none" w:sz="0" w:space="0" w:color="auto" w:frame="1"/>
            <w:lang w:eastAsia="en-GB"/>
          </w:rPr>
          <w:t>)</w:t>
        </w:r>
      </w:hyperlink>
      <w:r w:rsidRPr="00BB0605">
        <w:rPr>
          <w:rFonts w:ascii="&amp;quot" w:eastAsia="Times New Roman" w:hAnsi="&amp;quot" w:cs="Times New Roman"/>
          <w:color w:val="0B0C0C"/>
          <w:sz w:val="29"/>
          <w:szCs w:val="29"/>
          <w:lang w:eastAsia="en-GB"/>
        </w:rPr>
        <w:t>.</w:t>
      </w:r>
    </w:p>
    <w:p w14:paraId="71B006F0" w14:textId="77777777" w:rsidR="00BB0605" w:rsidRPr="00BB0605" w:rsidRDefault="00BB0605" w:rsidP="00BB0605">
      <w:pPr>
        <w:spacing w:before="300" w:after="300" w:line="240" w:lineRule="auto"/>
        <w:textAlignment w:val="baseline"/>
        <w:rPr>
          <w:rFonts w:ascii="&amp;quot" w:eastAsia="Times New Roman" w:hAnsi="&amp;quot" w:cs="Times New Roman"/>
          <w:color w:val="0B0C0C"/>
          <w:sz w:val="29"/>
          <w:szCs w:val="29"/>
          <w:lang w:eastAsia="en-GB"/>
        </w:rPr>
      </w:pPr>
      <w:r w:rsidRPr="00BB0605">
        <w:rPr>
          <w:rFonts w:ascii="&amp;quot" w:eastAsia="Times New Roman" w:hAnsi="&amp;quot" w:cs="Times New Roman"/>
          <w:color w:val="0B0C0C"/>
          <w:sz w:val="29"/>
          <w:szCs w:val="29"/>
          <w:lang w:eastAsia="en-GB"/>
        </w:rPr>
        <w:t>You must be at least:</w:t>
      </w:r>
    </w:p>
    <w:p w14:paraId="09071117" w14:textId="77777777" w:rsidR="00BB0605" w:rsidRPr="00BB0605" w:rsidRDefault="00BB0605" w:rsidP="00BB0605">
      <w:pPr>
        <w:numPr>
          <w:ilvl w:val="0"/>
          <w:numId w:val="1"/>
        </w:numPr>
        <w:spacing w:after="0" w:line="240" w:lineRule="auto"/>
        <w:ind w:left="75"/>
        <w:textAlignment w:val="baseline"/>
        <w:rPr>
          <w:rFonts w:ascii="&amp;quot" w:eastAsia="Times New Roman" w:hAnsi="&amp;quot" w:cs="Times New Roman"/>
          <w:color w:val="0B0C0C"/>
          <w:sz w:val="29"/>
          <w:szCs w:val="29"/>
          <w:lang w:eastAsia="en-GB"/>
        </w:rPr>
      </w:pPr>
      <w:hyperlink r:id="rId6" w:history="1">
        <w:r w:rsidRPr="00BB0605">
          <w:rPr>
            <w:rFonts w:ascii="&amp;quot" w:eastAsia="Times New Roman" w:hAnsi="&amp;quot" w:cs="Times New Roman"/>
            <w:color w:val="1D70B8"/>
            <w:sz w:val="29"/>
            <w:szCs w:val="29"/>
            <w:u w:val="single"/>
            <w:bdr w:val="none" w:sz="0" w:space="0" w:color="auto" w:frame="1"/>
            <w:lang w:eastAsia="en-GB"/>
          </w:rPr>
          <w:t>school leaving age</w:t>
        </w:r>
      </w:hyperlink>
      <w:r w:rsidRPr="00BB0605">
        <w:rPr>
          <w:rFonts w:ascii="&amp;quot" w:eastAsia="Times New Roman" w:hAnsi="&amp;quot" w:cs="Times New Roman"/>
          <w:color w:val="0B0C0C"/>
          <w:sz w:val="29"/>
          <w:szCs w:val="29"/>
          <w:lang w:eastAsia="en-GB"/>
        </w:rPr>
        <w:t xml:space="preserve"> to get the National Minimum Wage</w:t>
      </w:r>
    </w:p>
    <w:p w14:paraId="6F27420B" w14:textId="77777777" w:rsidR="00BB0605" w:rsidRPr="00BB0605" w:rsidRDefault="00BB0605" w:rsidP="00BB0605">
      <w:pPr>
        <w:numPr>
          <w:ilvl w:val="0"/>
          <w:numId w:val="1"/>
        </w:numPr>
        <w:spacing w:line="240" w:lineRule="auto"/>
        <w:ind w:left="75"/>
        <w:textAlignment w:val="baseline"/>
        <w:rPr>
          <w:rFonts w:ascii="&amp;quot" w:eastAsia="Times New Roman" w:hAnsi="&amp;quot" w:cs="Times New Roman"/>
          <w:color w:val="0B0C0C"/>
          <w:sz w:val="29"/>
          <w:szCs w:val="29"/>
          <w:lang w:eastAsia="en-GB"/>
        </w:rPr>
      </w:pPr>
      <w:r w:rsidRPr="00BB0605">
        <w:rPr>
          <w:rFonts w:ascii="&amp;quot" w:eastAsia="Times New Roman" w:hAnsi="&amp;quot" w:cs="Times New Roman"/>
          <w:color w:val="0B0C0C"/>
          <w:sz w:val="29"/>
          <w:szCs w:val="29"/>
          <w:lang w:eastAsia="en-GB"/>
        </w:rPr>
        <w:t>aged 25 to get the National Living Wage - the minimum wage will still apply for workers aged 24 and under</w:t>
      </w:r>
    </w:p>
    <w:p w14:paraId="74F00CE5" w14:textId="77777777" w:rsidR="00BB0605" w:rsidRPr="00BB0605" w:rsidRDefault="00BB0605" w:rsidP="00BB0605">
      <w:pPr>
        <w:spacing w:before="675" w:after="0" w:line="240" w:lineRule="auto"/>
        <w:textAlignment w:val="baseline"/>
        <w:outlineLvl w:val="1"/>
        <w:rPr>
          <w:rFonts w:ascii="&amp;quot" w:eastAsia="Times New Roman" w:hAnsi="&amp;quot" w:cs="Times New Roman"/>
          <w:b/>
          <w:bCs/>
          <w:color w:val="0B0C0C"/>
          <w:sz w:val="41"/>
          <w:szCs w:val="41"/>
          <w:lang w:eastAsia="en-GB"/>
        </w:rPr>
      </w:pPr>
      <w:r w:rsidRPr="00BB0605">
        <w:rPr>
          <w:rFonts w:ascii="&amp;quot" w:eastAsia="Times New Roman" w:hAnsi="&amp;quot" w:cs="Times New Roman"/>
          <w:b/>
          <w:bCs/>
          <w:color w:val="0B0C0C"/>
          <w:sz w:val="41"/>
          <w:szCs w:val="41"/>
          <w:lang w:eastAsia="en-GB"/>
        </w:rPr>
        <w:t>Current rates</w:t>
      </w:r>
    </w:p>
    <w:p w14:paraId="382BAF1E" w14:textId="77777777" w:rsidR="00BB0605" w:rsidRPr="00BB0605" w:rsidRDefault="00BB0605" w:rsidP="00BB0605">
      <w:pPr>
        <w:spacing w:before="300" w:after="300" w:line="240" w:lineRule="auto"/>
        <w:rPr>
          <w:rFonts w:ascii="&amp;quot" w:eastAsia="Times New Roman" w:hAnsi="&amp;quot" w:cs="Times New Roman"/>
          <w:color w:val="0B0C0C"/>
          <w:sz w:val="29"/>
          <w:szCs w:val="29"/>
          <w:lang w:eastAsia="en-GB"/>
        </w:rPr>
      </w:pPr>
      <w:r w:rsidRPr="00BB0605">
        <w:rPr>
          <w:rFonts w:ascii="&amp;quot" w:eastAsia="Times New Roman" w:hAnsi="&amp;quot" w:cs="Times New Roman"/>
          <w:color w:val="0B0C0C"/>
          <w:sz w:val="29"/>
          <w:szCs w:val="29"/>
          <w:lang w:eastAsia="en-GB"/>
        </w:rPr>
        <w:t xml:space="preserve">These rates are for the National Living Wage and the National Minimum </w:t>
      </w:r>
      <w:r w:rsidRPr="00BB0605">
        <w:rPr>
          <w:rFonts w:ascii="&amp;quot" w:eastAsia="Times New Roman" w:hAnsi="&amp;quot" w:cs="Times New Roman"/>
          <w:b/>
          <w:bCs/>
          <w:color w:val="0B0C0C"/>
          <w:sz w:val="29"/>
          <w:szCs w:val="29"/>
          <w:lang w:eastAsia="en-GB"/>
        </w:rPr>
        <w:t>Wage. The rates change every April</w:t>
      </w:r>
      <w:r w:rsidRPr="00BB0605">
        <w:rPr>
          <w:rFonts w:ascii="&amp;quot" w:eastAsia="Times New Roman" w:hAnsi="&amp;quot" w:cs="Times New Roman"/>
          <w:color w:val="0B0C0C"/>
          <w:sz w:val="29"/>
          <w:szCs w:val="29"/>
          <w:lang w:eastAsia="en-GB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8"/>
        <w:gridCol w:w="1449"/>
        <w:gridCol w:w="1048"/>
        <w:gridCol w:w="1048"/>
        <w:gridCol w:w="1172"/>
        <w:gridCol w:w="1371"/>
      </w:tblGrid>
      <w:tr w:rsidR="00BB0605" w:rsidRPr="00BB0605" w14:paraId="14A79A2D" w14:textId="77777777" w:rsidTr="00BB0605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6" w:space="0" w:color="B1B4B6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14:paraId="7EE9EA89" w14:textId="77777777" w:rsidR="00BB0605" w:rsidRPr="00BB0605" w:rsidRDefault="00BB0605" w:rsidP="00BB0605">
            <w:pPr>
              <w:spacing w:after="0" w:line="240" w:lineRule="auto"/>
              <w:rPr>
                <w:rFonts w:ascii="&amp;quot" w:eastAsia="Times New Roman" w:hAnsi="&amp;quot" w:cs="Times New Roman"/>
                <w:color w:val="0B0C0C"/>
                <w:sz w:val="29"/>
                <w:szCs w:val="29"/>
                <w:lang w:eastAsia="en-GB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B1B4B6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14:paraId="6ED78566" w14:textId="77777777" w:rsidR="00BB0605" w:rsidRPr="00BB0605" w:rsidRDefault="00BB0605" w:rsidP="00BB0605">
            <w:pPr>
              <w:spacing w:after="0" w:line="240" w:lineRule="auto"/>
              <w:rPr>
                <w:rFonts w:ascii="&amp;quot" w:eastAsia="Times New Roman" w:hAnsi="&amp;quot" w:cs="Times New Roman"/>
                <w:b/>
                <w:bCs/>
                <w:color w:val="0B0C0C"/>
                <w:sz w:val="21"/>
                <w:szCs w:val="21"/>
                <w:highlight w:val="yellow"/>
                <w:lang w:eastAsia="en-GB"/>
              </w:rPr>
            </w:pPr>
            <w:r w:rsidRPr="00BB0605">
              <w:rPr>
                <w:rFonts w:ascii="&amp;quot" w:eastAsia="Times New Roman" w:hAnsi="&amp;quot" w:cs="Times New Roman"/>
                <w:b/>
                <w:bCs/>
                <w:color w:val="0B0C0C"/>
                <w:sz w:val="21"/>
                <w:szCs w:val="21"/>
                <w:highlight w:val="yellow"/>
                <w:lang w:eastAsia="en-GB"/>
              </w:rPr>
              <w:t>25 and 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B1B4B6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14:paraId="5D258F2B" w14:textId="77777777" w:rsidR="00BB0605" w:rsidRPr="00BB0605" w:rsidRDefault="00BB0605" w:rsidP="00BB0605">
            <w:pPr>
              <w:spacing w:after="0" w:line="240" w:lineRule="auto"/>
              <w:rPr>
                <w:rFonts w:ascii="&amp;quot" w:eastAsia="Times New Roman" w:hAnsi="&amp;quot" w:cs="Times New Roman"/>
                <w:b/>
                <w:bCs/>
                <w:color w:val="0B0C0C"/>
                <w:sz w:val="21"/>
                <w:szCs w:val="21"/>
                <w:highlight w:val="yellow"/>
                <w:lang w:eastAsia="en-GB"/>
              </w:rPr>
            </w:pPr>
            <w:r w:rsidRPr="00BB0605">
              <w:rPr>
                <w:rFonts w:ascii="&amp;quot" w:eastAsia="Times New Roman" w:hAnsi="&amp;quot" w:cs="Times New Roman"/>
                <w:b/>
                <w:bCs/>
                <w:color w:val="0B0C0C"/>
                <w:sz w:val="21"/>
                <w:szCs w:val="21"/>
                <w:highlight w:val="yellow"/>
                <w:lang w:eastAsia="en-GB"/>
              </w:rPr>
              <w:t>21 to 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B1B4B6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14:paraId="04F23ADE" w14:textId="77777777" w:rsidR="00BB0605" w:rsidRPr="00BB0605" w:rsidRDefault="00BB0605" w:rsidP="00BB0605">
            <w:pPr>
              <w:spacing w:after="0" w:line="240" w:lineRule="auto"/>
              <w:rPr>
                <w:rFonts w:ascii="&amp;quot" w:eastAsia="Times New Roman" w:hAnsi="&amp;quot" w:cs="Times New Roman"/>
                <w:b/>
                <w:bCs/>
                <w:color w:val="0B0C0C"/>
                <w:sz w:val="21"/>
                <w:szCs w:val="21"/>
                <w:highlight w:val="yellow"/>
                <w:lang w:eastAsia="en-GB"/>
              </w:rPr>
            </w:pPr>
            <w:r w:rsidRPr="00BB0605">
              <w:rPr>
                <w:rFonts w:ascii="&amp;quot" w:eastAsia="Times New Roman" w:hAnsi="&amp;quot" w:cs="Times New Roman"/>
                <w:b/>
                <w:bCs/>
                <w:color w:val="0B0C0C"/>
                <w:sz w:val="21"/>
                <w:szCs w:val="21"/>
                <w:highlight w:val="yellow"/>
                <w:lang w:eastAsia="en-GB"/>
              </w:rPr>
              <w:t>18 to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B1B4B6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14:paraId="5BC90CBF" w14:textId="77777777" w:rsidR="00BB0605" w:rsidRPr="00BB0605" w:rsidRDefault="00BB0605" w:rsidP="00BB0605">
            <w:pPr>
              <w:spacing w:after="0" w:line="240" w:lineRule="auto"/>
              <w:rPr>
                <w:rFonts w:ascii="&amp;quot" w:eastAsia="Times New Roman" w:hAnsi="&amp;quot" w:cs="Times New Roman"/>
                <w:b/>
                <w:bCs/>
                <w:color w:val="0B0C0C"/>
                <w:sz w:val="21"/>
                <w:szCs w:val="21"/>
                <w:highlight w:val="yellow"/>
                <w:lang w:eastAsia="en-GB"/>
              </w:rPr>
            </w:pPr>
            <w:r w:rsidRPr="00BB0605">
              <w:rPr>
                <w:rFonts w:ascii="&amp;quot" w:eastAsia="Times New Roman" w:hAnsi="&amp;quot" w:cs="Times New Roman"/>
                <w:b/>
                <w:bCs/>
                <w:color w:val="0B0C0C"/>
                <w:sz w:val="21"/>
                <w:szCs w:val="21"/>
                <w:highlight w:val="yellow"/>
                <w:lang w:eastAsia="en-GB"/>
              </w:rPr>
              <w:t>Under 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B1B4B6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14:paraId="4AFADAC5" w14:textId="77777777" w:rsidR="00BB0605" w:rsidRPr="00BB0605" w:rsidRDefault="00BB0605" w:rsidP="00BB0605">
            <w:pPr>
              <w:spacing w:after="0" w:line="240" w:lineRule="auto"/>
              <w:rPr>
                <w:rFonts w:ascii="&amp;quot" w:eastAsia="Times New Roman" w:hAnsi="&amp;quot" w:cs="Times New Roman"/>
                <w:b/>
                <w:bCs/>
                <w:color w:val="0B0C0C"/>
                <w:sz w:val="21"/>
                <w:szCs w:val="21"/>
                <w:highlight w:val="yellow"/>
                <w:lang w:eastAsia="en-GB"/>
              </w:rPr>
            </w:pPr>
            <w:r w:rsidRPr="00BB0605">
              <w:rPr>
                <w:rFonts w:ascii="&amp;quot" w:eastAsia="Times New Roman" w:hAnsi="&amp;quot" w:cs="Times New Roman"/>
                <w:b/>
                <w:bCs/>
                <w:color w:val="0B0C0C"/>
                <w:sz w:val="21"/>
                <w:szCs w:val="21"/>
                <w:highlight w:val="yellow"/>
                <w:lang w:eastAsia="en-GB"/>
              </w:rPr>
              <w:t>Apprentice</w:t>
            </w:r>
          </w:p>
        </w:tc>
      </w:tr>
      <w:tr w:rsidR="00BB0605" w:rsidRPr="00BB0605" w14:paraId="78F9E9AD" w14:textId="77777777" w:rsidTr="00BB0605">
        <w:tc>
          <w:tcPr>
            <w:tcW w:w="0" w:type="auto"/>
            <w:tcBorders>
              <w:top w:val="nil"/>
              <w:left w:val="nil"/>
              <w:bottom w:val="single" w:sz="6" w:space="0" w:color="B1B4B6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14:paraId="7CD26552" w14:textId="77777777" w:rsidR="00BB0605" w:rsidRPr="00BB0605" w:rsidRDefault="00BB0605" w:rsidP="00BB0605">
            <w:pPr>
              <w:spacing w:after="0" w:line="240" w:lineRule="auto"/>
              <w:rPr>
                <w:rFonts w:ascii="&amp;quot" w:eastAsia="Times New Roman" w:hAnsi="&amp;quot" w:cs="Times New Roman"/>
                <w:b/>
                <w:bCs/>
                <w:color w:val="0B0C0C"/>
                <w:sz w:val="21"/>
                <w:szCs w:val="21"/>
                <w:lang w:eastAsia="en-GB"/>
              </w:rPr>
            </w:pPr>
            <w:r w:rsidRPr="00BB0605">
              <w:rPr>
                <w:rFonts w:ascii="&amp;quot" w:eastAsia="Times New Roman" w:hAnsi="&amp;quot" w:cs="Times New Roman"/>
                <w:b/>
                <w:bCs/>
                <w:color w:val="0B0C0C"/>
                <w:sz w:val="21"/>
                <w:szCs w:val="21"/>
                <w:lang w:eastAsia="en-GB"/>
              </w:rPr>
              <w:t>April 2020 (current rate)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B1B4B6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14:paraId="2E85E4BD" w14:textId="77777777" w:rsidR="00BB0605" w:rsidRPr="00BB0605" w:rsidRDefault="00BB0605" w:rsidP="00BB0605">
            <w:pPr>
              <w:spacing w:after="0" w:line="240" w:lineRule="auto"/>
              <w:rPr>
                <w:rFonts w:ascii="inherit" w:eastAsia="Times New Roman" w:hAnsi="inherit" w:cs="Times New Roman"/>
                <w:color w:val="0B0C0C"/>
                <w:sz w:val="21"/>
                <w:szCs w:val="21"/>
                <w:lang w:eastAsia="en-GB"/>
              </w:rPr>
            </w:pPr>
            <w:r w:rsidRPr="00BB0605">
              <w:rPr>
                <w:rFonts w:ascii="inherit" w:eastAsia="Times New Roman" w:hAnsi="inherit" w:cs="Times New Roman"/>
                <w:color w:val="0B0C0C"/>
                <w:sz w:val="21"/>
                <w:szCs w:val="21"/>
                <w:lang w:eastAsia="en-GB"/>
              </w:rPr>
              <w:t>£8.72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B1B4B6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14:paraId="61A4FA81" w14:textId="77777777" w:rsidR="00BB0605" w:rsidRPr="00BB0605" w:rsidRDefault="00BB0605" w:rsidP="00BB0605">
            <w:pPr>
              <w:spacing w:after="0" w:line="240" w:lineRule="auto"/>
              <w:rPr>
                <w:rFonts w:ascii="inherit" w:eastAsia="Times New Roman" w:hAnsi="inherit" w:cs="Times New Roman"/>
                <w:color w:val="0B0C0C"/>
                <w:sz w:val="21"/>
                <w:szCs w:val="21"/>
                <w:lang w:eastAsia="en-GB"/>
              </w:rPr>
            </w:pPr>
            <w:r w:rsidRPr="00BB0605">
              <w:rPr>
                <w:rFonts w:ascii="inherit" w:eastAsia="Times New Roman" w:hAnsi="inherit" w:cs="Times New Roman"/>
                <w:color w:val="0B0C0C"/>
                <w:sz w:val="21"/>
                <w:szCs w:val="21"/>
                <w:lang w:eastAsia="en-GB"/>
              </w:rPr>
              <w:t>£8.20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B1B4B6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14:paraId="112B0A85" w14:textId="77777777" w:rsidR="00BB0605" w:rsidRPr="00BB0605" w:rsidRDefault="00BB0605" w:rsidP="00BB0605">
            <w:pPr>
              <w:spacing w:after="0" w:line="240" w:lineRule="auto"/>
              <w:rPr>
                <w:rFonts w:ascii="inherit" w:eastAsia="Times New Roman" w:hAnsi="inherit" w:cs="Times New Roman"/>
                <w:color w:val="0B0C0C"/>
                <w:sz w:val="21"/>
                <w:szCs w:val="21"/>
                <w:lang w:eastAsia="en-GB"/>
              </w:rPr>
            </w:pPr>
            <w:r w:rsidRPr="00BB0605">
              <w:rPr>
                <w:rFonts w:ascii="inherit" w:eastAsia="Times New Roman" w:hAnsi="inherit" w:cs="Times New Roman"/>
                <w:color w:val="0B0C0C"/>
                <w:sz w:val="21"/>
                <w:szCs w:val="21"/>
                <w:lang w:eastAsia="en-GB"/>
              </w:rPr>
              <w:t>£6.45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B1B4B6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14:paraId="3B3F5A1F" w14:textId="77777777" w:rsidR="00BB0605" w:rsidRPr="00BB0605" w:rsidRDefault="00BB0605" w:rsidP="00BB0605">
            <w:pPr>
              <w:spacing w:after="0" w:line="240" w:lineRule="auto"/>
              <w:rPr>
                <w:rFonts w:ascii="inherit" w:eastAsia="Times New Roman" w:hAnsi="inherit" w:cs="Times New Roman"/>
                <w:color w:val="0B0C0C"/>
                <w:sz w:val="21"/>
                <w:szCs w:val="21"/>
                <w:lang w:eastAsia="en-GB"/>
              </w:rPr>
            </w:pPr>
            <w:r w:rsidRPr="00BB0605">
              <w:rPr>
                <w:rFonts w:ascii="inherit" w:eastAsia="Times New Roman" w:hAnsi="inherit" w:cs="Times New Roman"/>
                <w:color w:val="0B0C0C"/>
                <w:sz w:val="21"/>
                <w:szCs w:val="21"/>
                <w:lang w:eastAsia="en-GB"/>
              </w:rPr>
              <w:t>£4.55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B1B4B6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14:paraId="08712DE2" w14:textId="77777777" w:rsidR="00BB0605" w:rsidRPr="00BB0605" w:rsidRDefault="00BB0605" w:rsidP="00BB0605">
            <w:pPr>
              <w:spacing w:after="0" w:line="240" w:lineRule="auto"/>
              <w:rPr>
                <w:rFonts w:ascii="inherit" w:eastAsia="Times New Roman" w:hAnsi="inherit" w:cs="Times New Roman"/>
                <w:color w:val="0B0C0C"/>
                <w:sz w:val="21"/>
                <w:szCs w:val="21"/>
                <w:lang w:eastAsia="en-GB"/>
              </w:rPr>
            </w:pPr>
            <w:r w:rsidRPr="00BB0605">
              <w:rPr>
                <w:rFonts w:ascii="inherit" w:eastAsia="Times New Roman" w:hAnsi="inherit" w:cs="Times New Roman"/>
                <w:color w:val="0B0C0C"/>
                <w:sz w:val="21"/>
                <w:szCs w:val="21"/>
                <w:lang w:eastAsia="en-GB"/>
              </w:rPr>
              <w:t>£4.15</w:t>
            </w:r>
          </w:p>
        </w:tc>
      </w:tr>
      <w:tr w:rsidR="00BB0605" w:rsidRPr="00BB0605" w14:paraId="6FE48248" w14:textId="77777777" w:rsidTr="00BB0605">
        <w:tc>
          <w:tcPr>
            <w:tcW w:w="0" w:type="auto"/>
            <w:tcBorders>
              <w:top w:val="nil"/>
              <w:left w:val="nil"/>
              <w:bottom w:val="single" w:sz="6" w:space="0" w:color="B1B4B6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14:paraId="268682FE" w14:textId="77777777" w:rsidR="00BB0605" w:rsidRPr="00BB0605" w:rsidRDefault="00BB0605" w:rsidP="00BB0605">
            <w:pPr>
              <w:spacing w:after="0" w:line="240" w:lineRule="auto"/>
              <w:rPr>
                <w:rFonts w:ascii="&amp;quot" w:eastAsia="Times New Roman" w:hAnsi="&amp;quot" w:cs="Times New Roman"/>
                <w:b/>
                <w:bCs/>
                <w:color w:val="0B0C0C"/>
                <w:sz w:val="21"/>
                <w:szCs w:val="21"/>
                <w:lang w:eastAsia="en-GB"/>
              </w:rPr>
            </w:pPr>
            <w:r w:rsidRPr="00BB0605">
              <w:rPr>
                <w:rFonts w:ascii="&amp;quot" w:eastAsia="Times New Roman" w:hAnsi="&amp;quot" w:cs="Times New Roman"/>
                <w:b/>
                <w:bCs/>
                <w:color w:val="0B0C0C"/>
                <w:sz w:val="21"/>
                <w:szCs w:val="21"/>
                <w:lang w:eastAsia="en-GB"/>
              </w:rPr>
              <w:t>April 2019 to March 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B1B4B6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14:paraId="115C088B" w14:textId="77777777" w:rsidR="00BB0605" w:rsidRPr="00BB0605" w:rsidRDefault="00BB0605" w:rsidP="00BB0605">
            <w:pPr>
              <w:spacing w:after="0" w:line="240" w:lineRule="auto"/>
              <w:rPr>
                <w:rFonts w:ascii="inherit" w:eastAsia="Times New Roman" w:hAnsi="inherit" w:cs="Times New Roman"/>
                <w:color w:val="0B0C0C"/>
                <w:sz w:val="21"/>
                <w:szCs w:val="21"/>
                <w:lang w:eastAsia="en-GB"/>
              </w:rPr>
            </w:pPr>
            <w:r w:rsidRPr="00BB0605">
              <w:rPr>
                <w:rFonts w:ascii="inherit" w:eastAsia="Times New Roman" w:hAnsi="inherit" w:cs="Times New Roman"/>
                <w:color w:val="0B0C0C"/>
                <w:sz w:val="21"/>
                <w:szCs w:val="21"/>
                <w:lang w:eastAsia="en-GB"/>
              </w:rPr>
              <w:t>£8.21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B1B4B6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14:paraId="12C06DCD" w14:textId="77777777" w:rsidR="00BB0605" w:rsidRPr="00BB0605" w:rsidRDefault="00BB0605" w:rsidP="00BB0605">
            <w:pPr>
              <w:spacing w:after="0" w:line="240" w:lineRule="auto"/>
              <w:rPr>
                <w:rFonts w:ascii="inherit" w:eastAsia="Times New Roman" w:hAnsi="inherit" w:cs="Times New Roman"/>
                <w:color w:val="0B0C0C"/>
                <w:sz w:val="21"/>
                <w:szCs w:val="21"/>
                <w:lang w:eastAsia="en-GB"/>
              </w:rPr>
            </w:pPr>
            <w:r w:rsidRPr="00BB0605">
              <w:rPr>
                <w:rFonts w:ascii="inherit" w:eastAsia="Times New Roman" w:hAnsi="inherit" w:cs="Times New Roman"/>
                <w:color w:val="0B0C0C"/>
                <w:sz w:val="21"/>
                <w:szCs w:val="21"/>
                <w:lang w:eastAsia="en-GB"/>
              </w:rPr>
              <w:t>£7.70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B1B4B6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14:paraId="7B4118E0" w14:textId="77777777" w:rsidR="00BB0605" w:rsidRPr="00BB0605" w:rsidRDefault="00BB0605" w:rsidP="00BB0605">
            <w:pPr>
              <w:spacing w:after="0" w:line="240" w:lineRule="auto"/>
              <w:rPr>
                <w:rFonts w:ascii="inherit" w:eastAsia="Times New Roman" w:hAnsi="inherit" w:cs="Times New Roman"/>
                <w:color w:val="0B0C0C"/>
                <w:sz w:val="21"/>
                <w:szCs w:val="21"/>
                <w:lang w:eastAsia="en-GB"/>
              </w:rPr>
            </w:pPr>
            <w:r w:rsidRPr="00BB0605">
              <w:rPr>
                <w:rFonts w:ascii="inherit" w:eastAsia="Times New Roman" w:hAnsi="inherit" w:cs="Times New Roman"/>
                <w:color w:val="0B0C0C"/>
                <w:sz w:val="21"/>
                <w:szCs w:val="21"/>
                <w:lang w:eastAsia="en-GB"/>
              </w:rPr>
              <w:t>£6.15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B1B4B6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14:paraId="0B644D8D" w14:textId="77777777" w:rsidR="00BB0605" w:rsidRPr="00BB0605" w:rsidRDefault="00BB0605" w:rsidP="00BB0605">
            <w:pPr>
              <w:spacing w:after="0" w:line="240" w:lineRule="auto"/>
              <w:rPr>
                <w:rFonts w:ascii="inherit" w:eastAsia="Times New Roman" w:hAnsi="inherit" w:cs="Times New Roman"/>
                <w:color w:val="0B0C0C"/>
                <w:sz w:val="21"/>
                <w:szCs w:val="21"/>
                <w:lang w:eastAsia="en-GB"/>
              </w:rPr>
            </w:pPr>
            <w:r w:rsidRPr="00BB0605">
              <w:rPr>
                <w:rFonts w:ascii="inherit" w:eastAsia="Times New Roman" w:hAnsi="inherit" w:cs="Times New Roman"/>
                <w:color w:val="0B0C0C"/>
                <w:sz w:val="21"/>
                <w:szCs w:val="21"/>
                <w:lang w:eastAsia="en-GB"/>
              </w:rPr>
              <w:t>£4.35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B1B4B6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14:paraId="21FFDD96" w14:textId="77777777" w:rsidR="00BB0605" w:rsidRPr="00BB0605" w:rsidRDefault="00BB0605" w:rsidP="00BB0605">
            <w:pPr>
              <w:spacing w:after="0" w:line="240" w:lineRule="auto"/>
              <w:rPr>
                <w:rFonts w:ascii="inherit" w:eastAsia="Times New Roman" w:hAnsi="inherit" w:cs="Times New Roman"/>
                <w:color w:val="0B0C0C"/>
                <w:sz w:val="21"/>
                <w:szCs w:val="21"/>
                <w:lang w:eastAsia="en-GB"/>
              </w:rPr>
            </w:pPr>
            <w:r w:rsidRPr="00BB0605">
              <w:rPr>
                <w:rFonts w:ascii="inherit" w:eastAsia="Times New Roman" w:hAnsi="inherit" w:cs="Times New Roman"/>
                <w:color w:val="0B0C0C"/>
                <w:sz w:val="21"/>
                <w:szCs w:val="21"/>
                <w:lang w:eastAsia="en-GB"/>
              </w:rPr>
              <w:t>£3.90</w:t>
            </w:r>
          </w:p>
        </w:tc>
      </w:tr>
    </w:tbl>
    <w:p w14:paraId="7B2A7B6E" w14:textId="2C66E63D" w:rsidR="00BB0605" w:rsidRDefault="00BB0605" w:rsidP="00BB0605"/>
    <w:p w14:paraId="163774A6" w14:textId="77777777" w:rsidR="00BB0605" w:rsidRPr="00BB0605" w:rsidRDefault="00BB0605" w:rsidP="00BB0605">
      <w:pPr>
        <w:rPr>
          <w:b/>
          <w:bCs/>
        </w:rPr>
      </w:pPr>
      <w:r w:rsidRPr="00BB0605">
        <w:rPr>
          <w:b/>
          <w:bCs/>
        </w:rPr>
        <w:t>Apprentices</w:t>
      </w:r>
    </w:p>
    <w:p w14:paraId="6882C976" w14:textId="77777777" w:rsidR="00BB0605" w:rsidRPr="00BB0605" w:rsidRDefault="00BB0605" w:rsidP="00BB0605">
      <w:hyperlink r:id="rId7" w:history="1">
        <w:r w:rsidRPr="00BB0605">
          <w:rPr>
            <w:rStyle w:val="Hyperlink"/>
          </w:rPr>
          <w:t>Apprentices</w:t>
        </w:r>
      </w:hyperlink>
      <w:r w:rsidRPr="00BB0605">
        <w:t xml:space="preserve"> are entitled to the apprentice rate if they’re either:</w:t>
      </w:r>
    </w:p>
    <w:p w14:paraId="7C77A6CE" w14:textId="77777777" w:rsidR="00BB0605" w:rsidRPr="00BB0605" w:rsidRDefault="00BB0605" w:rsidP="00BB0605">
      <w:pPr>
        <w:numPr>
          <w:ilvl w:val="0"/>
          <w:numId w:val="2"/>
        </w:numPr>
      </w:pPr>
      <w:r w:rsidRPr="00BB0605">
        <w:t>aged under 19</w:t>
      </w:r>
    </w:p>
    <w:p w14:paraId="15471F1B" w14:textId="77777777" w:rsidR="00BB0605" w:rsidRPr="00BB0605" w:rsidRDefault="00BB0605" w:rsidP="00BB0605">
      <w:pPr>
        <w:numPr>
          <w:ilvl w:val="0"/>
          <w:numId w:val="2"/>
        </w:numPr>
      </w:pPr>
      <w:r w:rsidRPr="00BB0605">
        <w:t>aged 19 or over and in the first year of their apprenticeship</w:t>
      </w:r>
    </w:p>
    <w:p w14:paraId="6481026F" w14:textId="77777777" w:rsidR="00BB0605" w:rsidRPr="00BB0605" w:rsidRDefault="00BB0605" w:rsidP="00BB0605">
      <w:r w:rsidRPr="00BB0605">
        <w:rPr>
          <w:b/>
          <w:bCs/>
        </w:rPr>
        <w:t>Example</w:t>
      </w:r>
      <w:r w:rsidRPr="00BB0605">
        <w:t xml:space="preserve"> An apprentice aged 22 in the first year of their apprenticeship is entitled to a minimum hourly rate of £4.15.</w:t>
      </w:r>
    </w:p>
    <w:p w14:paraId="44473BEF" w14:textId="77777777" w:rsidR="00BB0605" w:rsidRPr="00BB0605" w:rsidRDefault="00BB0605" w:rsidP="00BB0605">
      <w:r w:rsidRPr="00BB0605">
        <w:t>Apprentices are entitled to the minimum wage for their age if they both:</w:t>
      </w:r>
    </w:p>
    <w:p w14:paraId="7BD310F8" w14:textId="77777777" w:rsidR="00BB0605" w:rsidRPr="00BB0605" w:rsidRDefault="00BB0605" w:rsidP="00BB0605">
      <w:pPr>
        <w:numPr>
          <w:ilvl w:val="0"/>
          <w:numId w:val="3"/>
        </w:numPr>
      </w:pPr>
      <w:r w:rsidRPr="00BB0605">
        <w:lastRenderedPageBreak/>
        <w:t>are aged 19 or over</w:t>
      </w:r>
    </w:p>
    <w:p w14:paraId="6B3EEF6E" w14:textId="77777777" w:rsidR="00BB0605" w:rsidRPr="00BB0605" w:rsidRDefault="00BB0605" w:rsidP="00BB0605">
      <w:pPr>
        <w:numPr>
          <w:ilvl w:val="0"/>
          <w:numId w:val="3"/>
        </w:numPr>
      </w:pPr>
      <w:r w:rsidRPr="00BB0605">
        <w:t>have completed the first year of their apprenticeship</w:t>
      </w:r>
    </w:p>
    <w:p w14:paraId="68743A2E" w14:textId="77777777" w:rsidR="00BB0605" w:rsidRPr="00BB0605" w:rsidRDefault="00BB0605" w:rsidP="00BB0605">
      <w:r w:rsidRPr="00BB0605">
        <w:rPr>
          <w:b/>
          <w:bCs/>
        </w:rPr>
        <w:t>Example</w:t>
      </w:r>
      <w:r w:rsidRPr="00BB0605">
        <w:t xml:space="preserve"> An apprentice aged 22 who has completed the first year of their apprenticeship is entitled to a minimum hourly rate of £8.20.</w:t>
      </w:r>
    </w:p>
    <w:p w14:paraId="029B8329" w14:textId="7CEAC4D2" w:rsidR="00BB0605" w:rsidRDefault="00BB0605" w:rsidP="00BB0605"/>
    <w:p w14:paraId="558DB961" w14:textId="77777777" w:rsidR="00BB0605" w:rsidRPr="0039140B" w:rsidRDefault="00BB0605" w:rsidP="00BB0605"/>
    <w:sectPr w:rsidR="00BB0605" w:rsidRPr="003914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C231E"/>
    <w:multiLevelType w:val="multilevel"/>
    <w:tmpl w:val="F5A0B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55F395B"/>
    <w:multiLevelType w:val="multilevel"/>
    <w:tmpl w:val="2F485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B260D89"/>
    <w:multiLevelType w:val="multilevel"/>
    <w:tmpl w:val="0BCAC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605"/>
    <w:rsid w:val="0039140B"/>
    <w:rsid w:val="004235F4"/>
    <w:rsid w:val="00BB0605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9304E"/>
  <w15:chartTrackingRefBased/>
  <w15:docId w15:val="{2EF48FF0-AA40-4C3E-9734-8D70AE588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40B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235F4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14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14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140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235F4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914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9140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B06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060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B0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3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244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6152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9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896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00932">
                  <w:marLeft w:val="0"/>
                  <w:marRight w:val="0"/>
                  <w:marTop w:val="75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617204">
          <w:marLeft w:val="-225"/>
          <w:marRight w:val="-225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07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87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94649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31522">
                      <w:marLeft w:val="0"/>
                      <w:marRight w:val="0"/>
                      <w:marTop w:val="480"/>
                      <w:marBottom w:val="480"/>
                      <w:divBdr>
                        <w:top w:val="none" w:sz="0" w:space="0" w:color="auto"/>
                        <w:left w:val="single" w:sz="48" w:space="12" w:color="B1B4B6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4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96973">
          <w:marLeft w:val="0"/>
          <w:marRight w:val="0"/>
          <w:marTop w:val="480"/>
          <w:marBottom w:val="480"/>
          <w:divBdr>
            <w:top w:val="none" w:sz="0" w:space="0" w:color="auto"/>
            <w:left w:val="single" w:sz="48" w:space="12" w:color="B1B4B6"/>
            <w:bottom w:val="none" w:sz="0" w:space="0" w:color="auto"/>
            <w:right w:val="none" w:sz="0" w:space="0" w:color="auto"/>
          </w:divBdr>
        </w:div>
        <w:div w:id="1461917700">
          <w:marLeft w:val="0"/>
          <w:marRight w:val="0"/>
          <w:marTop w:val="480"/>
          <w:marBottom w:val="480"/>
          <w:divBdr>
            <w:top w:val="none" w:sz="0" w:space="0" w:color="auto"/>
            <w:left w:val="single" w:sz="48" w:space="12" w:color="B1B4B6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uk/apprenticeships-gui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uk/know-when-you-can-leave-school" TargetMode="External"/><Relationship Id="rId5" Type="http://schemas.openxmlformats.org/officeDocument/2006/relationships/hyperlink" Target="https://www.gov.uk/cyfraddau-isafswm-cyflog-cenedlaetho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Bromley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Lawson, Laura</dc:creator>
  <cp:keywords/>
  <dc:description/>
  <cp:lastModifiedBy>Lawson, Laura</cp:lastModifiedBy>
  <cp:revision>1</cp:revision>
  <dcterms:created xsi:type="dcterms:W3CDTF">2020-11-16T10:19:00Z</dcterms:created>
  <dcterms:modified xsi:type="dcterms:W3CDTF">2020-11-16T10:29:00Z</dcterms:modified>
</cp:coreProperties>
</file>